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厦钨新能（包括但不限于厦门厦钨新能源材料股份有限公司及其全资子公司、控股子公司或具有控制权的合资公司，统称“厦钨新能”）在业务往来中的合法权益，充分体现公平、公正、廉洁、诚信合作的精神，与厦钨新能共同抵制商业贿赂和不正当竞争，反对商业欺诈，在信任、诚实、坦率与正直的基础上构筑相互间的合作关系，供应商特向厦钨新能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r w:rsidR="00C533DB">
        <w:rPr>
          <w:rFonts w:asciiTheme="minorEastAsia" w:eastAsiaTheme="minorEastAsia" w:hAnsiTheme="minorEastAsia" w:hint="eastAsia"/>
        </w:rPr>
        <w:t>厦钨新能</w:t>
      </w:r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  <w:bookmarkStart w:id="0" w:name="_GoBack"/>
      <w:bookmarkEnd w:id="0"/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9" w:history="1">
        <w:r w:rsidR="00390F05" w:rsidRPr="009E2EDF">
          <w:rPr>
            <w:rStyle w:val="af0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r w:rsidR="00C533DB">
        <w:rPr>
          <w:rFonts w:asciiTheme="minorEastAsia" w:eastAsiaTheme="minorEastAsia" w:hAnsiTheme="minorEastAsia" w:hint="eastAsia"/>
        </w:rPr>
        <w:t>厦钨新能</w:t>
      </w:r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完全承担及赔偿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r>
        <w:rPr>
          <w:rFonts w:asciiTheme="minorEastAsia" w:eastAsiaTheme="minorEastAsia" w:hAnsiTheme="minorEastAsia" w:hint="eastAsia"/>
        </w:rPr>
        <w:t>厦钨新能</w:t>
      </w:r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，相关合同对违约金有重复约定的，供应商同意叠加适用；或者按供应商与厦钨新能已履行的全部业务合同的总价款3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%支付违约金；两种违约金的计算方案按孰高原则执行。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同意厦钨新能取消供应商的供应商资格，列为厦钨新能的采购黑名单，并保留通过法律途径追究相关当事人责任的权利。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本承诺书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72D40">
      <w:pPr>
        <w:spacing w:line="400" w:lineRule="exact"/>
        <w:ind w:right="126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0CEC2567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372D40" w:rsidRPr="00372D40">
        <w:rPr>
          <w:rFonts w:asciiTheme="minorEastAsia" w:eastAsiaTheme="minorEastAsia" w:hAnsiTheme="minorEastAsia" w:hint="eastAsia"/>
        </w:rPr>
        <w:t>2024年10月</w:t>
      </w:r>
      <w:r w:rsidR="00DE1345">
        <w:rPr>
          <w:rFonts w:asciiTheme="minorEastAsia" w:eastAsiaTheme="minorEastAsia" w:hAnsiTheme="minorEastAsia" w:hint="eastAsia"/>
        </w:rPr>
        <w:t>24</w:t>
      </w:r>
      <w:r w:rsidR="00372D40" w:rsidRPr="00372D40"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10"/>
      <w:footerReference w:type="default" r:id="rId11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90546" w14:textId="77777777" w:rsidR="00AA7AC6" w:rsidRDefault="00AA7AC6" w:rsidP="00A97BB2">
      <w:r>
        <w:separator/>
      </w:r>
    </w:p>
  </w:endnote>
  <w:endnote w:type="continuationSeparator" w:id="0">
    <w:p w14:paraId="067EC678" w14:textId="77777777" w:rsidR="00AA7AC6" w:rsidRDefault="00AA7AC6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0FEB9" w14:textId="77777777" w:rsidR="004F3EE6" w:rsidRDefault="004F3EE6">
    <w:pPr>
      <w:pStyle w:val="a7"/>
      <w:snapToGrid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D1155" w14:textId="77777777" w:rsidR="00AA7AC6" w:rsidRDefault="00AA7AC6" w:rsidP="00A97BB2">
      <w:r>
        <w:separator/>
      </w:r>
    </w:p>
  </w:footnote>
  <w:footnote w:type="continuationSeparator" w:id="0">
    <w:p w14:paraId="3338C135" w14:textId="77777777" w:rsidR="00AA7AC6" w:rsidRDefault="00AA7AC6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72D40"/>
    <w:rsid w:val="003853DA"/>
    <w:rsid w:val="00390F05"/>
    <w:rsid w:val="003A1B27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A7AC6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1345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11FDE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NYJC@CXT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123</cp:revision>
  <cp:lastPrinted>2021-07-21T07:42:00Z</cp:lastPrinted>
  <dcterms:created xsi:type="dcterms:W3CDTF">2018-04-11T08:42:00Z</dcterms:created>
  <dcterms:modified xsi:type="dcterms:W3CDTF">2024-10-24T00:52:00Z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